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EAAD85" w14:textId="2C2C7462" w:rsidR="00F66F71" w:rsidRPr="002D3C03" w:rsidRDefault="00F66F71" w:rsidP="00F66F7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A7A55AA" wp14:editId="42355A2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6D465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7456C3" w:rsidRPr="007456C3">
        <w:rPr>
          <w:b/>
          <w:kern w:val="2"/>
          <w:lang w:eastAsia="zh-CN"/>
        </w:rPr>
        <w:t>R4-2513422</w:t>
      </w:r>
      <w:bookmarkStart w:id="1" w:name="_GoBack"/>
      <w:bookmarkEnd w:id="1"/>
    </w:p>
    <w:p w14:paraId="5F0FC15F" w14:textId="77777777" w:rsidR="00F66F71" w:rsidRDefault="00F66F71" w:rsidP="00F66F71">
      <w:pPr>
        <w:rPr>
          <w:b/>
          <w:bCs/>
          <w:lang w:eastAsia="zh-CN"/>
        </w:rPr>
      </w:pPr>
      <w:r w:rsidRPr="00F45CBE">
        <w:rPr>
          <w:b/>
          <w:bCs/>
          <w:lang w:eastAsia="zh-CN"/>
        </w:rPr>
        <w:t>Prague, Czech Republic, October 13 – 17,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46534A7A"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F66F71">
        <w:rPr>
          <w:b/>
          <w:kern w:val="2"/>
          <w:lang w:eastAsia="zh-CN"/>
        </w:rPr>
        <w:t>6</w:t>
      </w:r>
      <w:r>
        <w:rPr>
          <w:b/>
          <w:kern w:val="2"/>
          <w:lang w:eastAsia="zh-CN"/>
        </w:rPr>
        <w:t>.1</w:t>
      </w:r>
      <w:r w:rsidR="00F66F71">
        <w:rPr>
          <w:b/>
          <w:kern w:val="2"/>
          <w:lang w:eastAsia="zh-CN"/>
        </w:rPr>
        <w:t>1</w:t>
      </w:r>
      <w:r w:rsidRPr="0071509B">
        <w:rPr>
          <w:b/>
          <w:kern w:val="2"/>
          <w:lang w:eastAsia="zh-CN"/>
        </w:rPr>
        <w:t>.</w:t>
      </w:r>
      <w:r>
        <w:rPr>
          <w:b/>
          <w:kern w:val="2"/>
          <w:lang w:eastAsia="zh-CN"/>
        </w:rPr>
        <w:t>5</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766B4C11"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core requirement </w:t>
      </w:r>
      <w:r>
        <w:rPr>
          <w:b/>
          <w:kern w:val="2"/>
          <w:lang w:eastAsia="zh-CN"/>
        </w:rPr>
        <w:t xml:space="preserve">and testing framework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1"/>
        <w:numPr>
          <w:ilvl w:val="0"/>
          <w:numId w:val="8"/>
        </w:numPr>
        <w:ind w:left="426"/>
      </w:pPr>
      <w:bookmarkStart w:id="2" w:name="_Ref124589705"/>
      <w:bookmarkStart w:id="3" w:name="_Ref129681862"/>
      <w:r w:rsidRPr="00B04045">
        <w:t>Introduction</w:t>
      </w:r>
      <w:bookmarkEnd w:id="2"/>
      <w:bookmarkEnd w:id="3"/>
    </w:p>
    <w:p w14:paraId="73E1FA38" w14:textId="30AC1F20" w:rsidR="000072B0" w:rsidRPr="00D20BAC" w:rsidRDefault="000072B0" w:rsidP="000072B0">
      <w:pPr>
        <w:overflowPunct w:val="0"/>
        <w:snapToGrid/>
        <w:textAlignment w:val="baseline"/>
        <w:rPr>
          <w:lang w:eastAsia="en-GB"/>
        </w:rPr>
      </w:pPr>
      <w:r>
        <w:rPr>
          <w:lang w:eastAsia="zh-CN"/>
        </w:rPr>
        <w:t>According to WF in RAN4 #11</w:t>
      </w:r>
      <w:r w:rsidR="00885C85">
        <w:rPr>
          <w:lang w:eastAsia="zh-CN"/>
        </w:rPr>
        <w:t>5</w:t>
      </w:r>
      <w:r>
        <w:rPr>
          <w:lang w:eastAsia="zh-CN"/>
        </w:rPr>
        <w:t>[1], we discuss the remaining issues related to the RRM core requirement for AIML positioning.</w:t>
      </w:r>
    </w:p>
    <w:p w14:paraId="3F492FF4" w14:textId="26D962DE" w:rsidR="000072B0" w:rsidRPr="00B7081B" w:rsidRDefault="006F5978" w:rsidP="000072B0">
      <w:r>
        <w:rPr>
          <w:lang w:eastAsia="zh-CN"/>
        </w:rPr>
        <w:pict w14:anchorId="07A12181">
          <v:rect id="_x0000_i1025" style="width:465.85pt;height:1pt;mso-position-vertical:absolute" o:hralign="center" o:hrstd="t" o:hrnoshade="t" o:hr="t" fillcolor="black [3213]" stroked="f"/>
        </w:pict>
      </w:r>
    </w:p>
    <w:p w14:paraId="75C175FC" w14:textId="77777777" w:rsidR="000072B0" w:rsidRPr="004E772C" w:rsidRDefault="000072B0" w:rsidP="000072B0">
      <w:pPr>
        <w:pStyle w:val="1"/>
        <w:numPr>
          <w:ilvl w:val="0"/>
          <w:numId w:val="8"/>
        </w:numPr>
        <w:ind w:left="418" w:hanging="418"/>
        <w:rPr>
          <w:rFonts w:eastAsia="宋体"/>
          <w:szCs w:val="20"/>
        </w:rPr>
      </w:pPr>
      <w:r>
        <w:rPr>
          <w:rFonts w:eastAsia="宋体"/>
          <w:szCs w:val="20"/>
        </w:rPr>
        <w:t>R</w:t>
      </w:r>
      <w:r w:rsidRPr="004E772C">
        <w:rPr>
          <w:rFonts w:eastAsia="宋体"/>
          <w:szCs w:val="20"/>
        </w:rPr>
        <w:t>eporting</w:t>
      </w:r>
      <w:r>
        <w:rPr>
          <w:rFonts w:eastAsia="宋体"/>
          <w:szCs w:val="20"/>
        </w:rPr>
        <w:t xml:space="preserve"> related</w:t>
      </w:r>
      <w:r w:rsidRPr="004E772C">
        <w:rPr>
          <w:rFonts w:eastAsia="宋体"/>
          <w:szCs w:val="20"/>
        </w:rPr>
        <w:t xml:space="preserve"> requirements </w:t>
      </w:r>
    </w:p>
    <w:p w14:paraId="19D8364A" w14:textId="77777777" w:rsidR="000072B0" w:rsidRPr="004E772C" w:rsidRDefault="000072B0" w:rsidP="000072B0">
      <w:pPr>
        <w:pStyle w:val="afa"/>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ac"/>
        <w:tblW w:w="0" w:type="auto"/>
        <w:tblLook w:val="04A0" w:firstRow="1" w:lastRow="0" w:firstColumn="1" w:lastColumn="0" w:noHBand="0" w:noVBand="1"/>
      </w:tblPr>
      <w:tblGrid>
        <w:gridCol w:w="9307"/>
      </w:tblGrid>
      <w:tr w:rsidR="000072B0" w14:paraId="4EB824DC" w14:textId="77777777" w:rsidTr="00C243C8">
        <w:tc>
          <w:tcPr>
            <w:tcW w:w="9307" w:type="dxa"/>
          </w:tcPr>
          <w:p w14:paraId="16A78489" w14:textId="77777777" w:rsidR="000072B0" w:rsidRDefault="000072B0" w:rsidP="00C243C8">
            <w:pPr>
              <w:spacing w:after="0"/>
              <w:rPr>
                <w:sz w:val="16"/>
                <w:szCs w:val="16"/>
                <w:lang w:eastAsia="zh-CN"/>
              </w:rPr>
            </w:pPr>
            <w:r w:rsidRPr="002D26F0">
              <w:rPr>
                <w:sz w:val="16"/>
                <w:szCs w:val="16"/>
                <w:lang w:eastAsia="zh-CN"/>
              </w:rPr>
              <w:t>RAN</w:t>
            </w:r>
            <w:r>
              <w:rPr>
                <w:sz w:val="16"/>
                <w:szCs w:val="16"/>
                <w:lang w:eastAsia="zh-CN"/>
              </w:rPr>
              <w:t>1</w:t>
            </w:r>
            <w:r w:rsidRPr="002D26F0">
              <w:rPr>
                <w:sz w:val="16"/>
                <w:szCs w:val="16"/>
                <w:lang w:eastAsia="zh-CN"/>
              </w:rPr>
              <w:t xml:space="preserve"> #11</w:t>
            </w:r>
            <w:r>
              <w:rPr>
                <w:sz w:val="16"/>
                <w:szCs w:val="16"/>
                <w:lang w:eastAsia="zh-CN"/>
              </w:rPr>
              <w:t>6</w:t>
            </w:r>
          </w:p>
          <w:p w14:paraId="33943278"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5760EFFF"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3CE3F1A3" w14:textId="77777777" w:rsidR="000072B0" w:rsidRPr="00297058" w:rsidRDefault="000072B0" w:rsidP="000072B0">
            <w:pPr>
              <w:pStyle w:val="afa"/>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FB9D88E" w14:textId="77777777" w:rsidR="000072B0" w:rsidRPr="00297058" w:rsidRDefault="000072B0" w:rsidP="000072B0">
            <w:pPr>
              <w:pStyle w:val="afa"/>
              <w:widowControl/>
              <w:numPr>
                <w:ilvl w:val="0"/>
                <w:numId w:val="21"/>
              </w:numPr>
              <w:adjustRightInd w:val="0"/>
              <w:snapToGrid w:val="0"/>
              <w:ind w:left="851" w:hanging="425"/>
              <w:jc w:val="both"/>
              <w:rPr>
                <w:rFonts w:ascii="Times New Roman" w:hAnsi="Times New Roman" w:cs="Times New Roman"/>
                <w:sz w:val="16"/>
                <w:szCs w:val="16"/>
              </w:rPr>
            </w:pPr>
            <w:bookmarkStart w:id="4" w:name="_Ref162734860"/>
            <w:r w:rsidRPr="00297058">
              <w:rPr>
                <w:rFonts w:ascii="Times New Roman" w:hAnsi="Times New Roman" w:cs="Times New Roman"/>
                <w:sz w:val="16"/>
                <w:szCs w:val="16"/>
              </w:rPr>
              <w:t>paired timing information and power information.</w:t>
            </w:r>
            <w:bookmarkEnd w:id="4"/>
          </w:p>
          <w:p w14:paraId="67B566FF" w14:textId="77777777" w:rsidR="000072B0" w:rsidRPr="00297058" w:rsidRDefault="000072B0" w:rsidP="00C243C8">
            <w:pPr>
              <w:spacing w:after="0"/>
              <w:rPr>
                <w:rFonts w:eastAsia="等线"/>
                <w:b/>
                <w:bCs/>
                <w:sz w:val="16"/>
                <w:szCs w:val="16"/>
                <w:highlight w:val="green"/>
                <w:lang w:eastAsia="zh-CN"/>
              </w:rPr>
            </w:pPr>
          </w:p>
          <w:p w14:paraId="353D334F"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7E61C0B"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21CE8A45" w14:textId="77777777" w:rsidR="000072B0" w:rsidRPr="00297058" w:rsidRDefault="000072B0" w:rsidP="000072B0">
            <w:pPr>
              <w:pStyle w:val="afa"/>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B9B3C5B" w14:textId="77777777" w:rsidR="000072B0" w:rsidRPr="00297058" w:rsidRDefault="000072B0" w:rsidP="000072B0">
            <w:pPr>
              <w:pStyle w:val="afa"/>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5D6726E1" w14:textId="77777777" w:rsidR="000072B0" w:rsidRPr="00297058" w:rsidRDefault="000072B0" w:rsidP="00C243C8">
            <w:pPr>
              <w:spacing w:after="0"/>
              <w:rPr>
                <w:rFonts w:eastAsia="等线"/>
                <w:b/>
                <w:bCs/>
                <w:sz w:val="16"/>
                <w:szCs w:val="16"/>
                <w:highlight w:val="green"/>
                <w:lang w:eastAsia="zh-CN"/>
              </w:rPr>
            </w:pPr>
          </w:p>
          <w:p w14:paraId="594B6BF0"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D78CD19" w14:textId="77777777" w:rsidR="000072B0" w:rsidRPr="00297058" w:rsidRDefault="000072B0" w:rsidP="00C243C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5E611C09" w14:textId="77777777" w:rsidR="000072B0" w:rsidRPr="00297058" w:rsidRDefault="000072B0" w:rsidP="000072B0">
            <w:pPr>
              <w:pStyle w:val="afa"/>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E7D6AF2" w14:textId="77777777" w:rsidR="000072B0" w:rsidRPr="00297058" w:rsidRDefault="000072B0" w:rsidP="000072B0">
            <w:pPr>
              <w:pStyle w:val="afa"/>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3C7CB269" w14:textId="77777777" w:rsidR="000072B0" w:rsidRPr="00297058" w:rsidRDefault="000072B0" w:rsidP="000072B0">
            <w:pPr>
              <w:pStyle w:val="afa"/>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16D54096" w14:textId="77777777" w:rsidR="000072B0" w:rsidRPr="00297058" w:rsidRDefault="000072B0" w:rsidP="000072B0">
            <w:pPr>
              <w:pStyle w:val="afa"/>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0E1B7730" w14:textId="77777777" w:rsidR="000072B0" w:rsidRPr="00297058" w:rsidRDefault="000072B0" w:rsidP="00C243C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096ADD26" w14:textId="0E04D81F" w:rsidR="000072B0" w:rsidRDefault="000072B0" w:rsidP="000072B0">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3b. Whether to support phase information as model input is still under discussion. If there is no other information than time and power introduced as model input, RAN4 can discuss whether to reuse legacy requirement for reporting of </w:t>
      </w:r>
      <w:r w:rsidRPr="00DD3A77">
        <w:rPr>
          <w:rFonts w:eastAsia="Yu Mincho"/>
          <w:szCs w:val="20"/>
          <w:lang w:val="en-GB"/>
        </w:rPr>
        <w:t>timing information or timing and power information from gNB to LMF</w:t>
      </w:r>
      <w:r>
        <w:rPr>
          <w:rFonts w:eastAsia="Yu Mincho"/>
          <w:szCs w:val="20"/>
          <w:lang w:val="en-GB"/>
        </w:rPr>
        <w:t>.</w:t>
      </w:r>
    </w:p>
    <w:p w14:paraId="63B2AA62" w14:textId="41612D9B"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3b, </w:t>
      </w:r>
      <w:r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or timing and power information from </w:t>
      </w:r>
      <w:r>
        <w:rPr>
          <w:rFonts w:eastAsia="Yu Mincho"/>
          <w:b/>
          <w:i/>
          <w:szCs w:val="20"/>
          <w:lang w:val="en-GB"/>
        </w:rPr>
        <w:t>gNB</w:t>
      </w:r>
      <w:r w:rsidRPr="00DD3A77">
        <w:rPr>
          <w:rFonts w:eastAsia="Yu Mincho"/>
          <w:b/>
          <w:i/>
          <w:szCs w:val="20"/>
          <w:lang w:val="en-GB"/>
        </w:rPr>
        <w:t xml:space="preserve"> to LMF</w:t>
      </w:r>
      <w:r w:rsidRPr="00EA08B3">
        <w:rPr>
          <w:rFonts w:eastAsia="Yu Mincho"/>
          <w:b/>
          <w:i/>
          <w:szCs w:val="20"/>
        </w:rPr>
        <w:t xml:space="preserve">. </w:t>
      </w:r>
    </w:p>
    <w:p w14:paraId="583F588D" w14:textId="77777777" w:rsidR="000072B0" w:rsidRPr="004E772C" w:rsidRDefault="000072B0" w:rsidP="000072B0">
      <w:pPr>
        <w:pStyle w:val="afa"/>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Pr="004E772C">
        <w:rPr>
          <w:rFonts w:ascii="Times New Roman" w:hAnsi="Times New Roman" w:cs="Times New Roman"/>
          <w:lang w:val="en-GB"/>
        </w:rPr>
        <w:t xml:space="preserve"> </w:t>
      </w:r>
    </w:p>
    <w:p w14:paraId="11350918" w14:textId="77777777" w:rsidR="000072B0" w:rsidRDefault="000072B0" w:rsidP="000072B0">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3AAA9877" w14:textId="38633798" w:rsidR="000072B0" w:rsidRDefault="000072B0" w:rsidP="000072B0">
      <w:pPr>
        <w:spacing w:before="120"/>
      </w:pPr>
      <w:r>
        <w:rPr>
          <w:rFonts w:eastAsia="Yu Mincho"/>
          <w:szCs w:val="20"/>
          <w:lang w:val="en-GB"/>
        </w:rPr>
        <w:t xml:space="preserve">For case 3a, if timing information is reported from gNB, LMF may need to know whether the timing information is obtained by legacy </w:t>
      </w:r>
      <w:r>
        <w:t xml:space="preserve">measurement-based </w:t>
      </w:r>
      <w:r>
        <w:rPr>
          <w:rFonts w:eastAsia="Yu Mincho"/>
          <w:szCs w:val="20"/>
          <w:lang w:val="en-GB"/>
        </w:rPr>
        <w:t>method or by R19 AIML non</w:t>
      </w:r>
      <w:r>
        <w:t xml:space="preserve">measurement-based </w:t>
      </w:r>
      <w:r>
        <w:rPr>
          <w:rFonts w:eastAsia="Yu Mincho"/>
          <w:szCs w:val="20"/>
          <w:lang w:val="en-GB"/>
        </w:rPr>
        <w:t xml:space="preserve">method. Otherwise, LMF will discard this timing information if it is reported with </w:t>
      </w:r>
      <w:proofErr w:type="spellStart"/>
      <w:r>
        <w:rPr>
          <w:rFonts w:eastAsia="Yu Mincho"/>
          <w:szCs w:val="20"/>
          <w:lang w:val="en-GB"/>
        </w:rPr>
        <w:t>NLoS</w:t>
      </w:r>
      <w:proofErr w:type="spellEnd"/>
      <w:r>
        <w:rPr>
          <w:rFonts w:eastAsia="Yu Mincho"/>
          <w:szCs w:val="20"/>
          <w:lang w:val="en-GB"/>
        </w:rPr>
        <w:t xml:space="preserve"> indicator. To solve this problem, several options are under discussion in RAN1. One is to explicitly add an indicator to distinguish </w:t>
      </w:r>
      <w:r>
        <w:t xml:space="preserve">whether the timing information is obtained by legacy method or by Rel-19 AI/ML. Another is to reuse the timing quality in legacy to implicitly indicate LMF whether to discard or not. </w:t>
      </w:r>
    </w:p>
    <w:p w14:paraId="3DA7D04B" w14:textId="70A656F7" w:rsidR="000072B0" w:rsidRDefault="000072B0" w:rsidP="000072B0">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3</w:t>
      </w:r>
      <w:r>
        <w:rPr>
          <w:rFonts w:eastAsia="Yu Mincho"/>
          <w:b/>
          <w:i/>
          <w:szCs w:val="20"/>
          <w:lang w:val="en-GB"/>
        </w:rPr>
        <w:t>a</w:t>
      </w:r>
      <w:r w:rsidRPr="00DD3A77">
        <w:rPr>
          <w:rFonts w:eastAsia="Yu Mincho"/>
          <w:b/>
          <w:i/>
          <w:szCs w:val="20"/>
          <w:lang w:val="en-GB"/>
        </w:rPr>
        <w:t>,</w:t>
      </w:r>
      <w:r>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from </w:t>
      </w:r>
      <w:r>
        <w:rPr>
          <w:rFonts w:eastAsia="Yu Mincho"/>
          <w:b/>
          <w:i/>
          <w:szCs w:val="20"/>
          <w:lang w:val="en-GB"/>
        </w:rPr>
        <w:t>gNB</w:t>
      </w:r>
      <w:r w:rsidRPr="00DD3A77">
        <w:rPr>
          <w:rFonts w:eastAsia="Yu Mincho"/>
          <w:b/>
          <w:i/>
          <w:szCs w:val="20"/>
          <w:lang w:val="en-GB"/>
        </w:rPr>
        <w:t xml:space="preserve"> to LMF</w:t>
      </w:r>
      <w:r>
        <w:rPr>
          <w:rFonts w:eastAsia="Yu Mincho"/>
          <w:b/>
          <w:i/>
          <w:szCs w:val="20"/>
          <w:lang w:val="en-GB"/>
        </w:rPr>
        <w:t xml:space="preserve">, if there is no explicit indicator introduced to distinguish </w:t>
      </w:r>
      <w:r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69EE9686" w14:textId="77777777" w:rsidR="000072B0" w:rsidRPr="00A378D9"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01118540" w14:textId="77777777" w:rsidR="000072B0" w:rsidRDefault="000072B0" w:rsidP="000072B0">
      <w:pPr>
        <w:pStyle w:val="1"/>
        <w:numPr>
          <w:ilvl w:val="0"/>
          <w:numId w:val="8"/>
        </w:numPr>
        <w:ind w:left="418" w:hanging="418"/>
        <w:rPr>
          <w:rFonts w:eastAsia="宋体"/>
          <w:szCs w:val="20"/>
        </w:rPr>
      </w:pPr>
      <w:r>
        <w:rPr>
          <w:rFonts w:eastAsia="宋体"/>
          <w:szCs w:val="20"/>
        </w:rPr>
        <w:t xml:space="preserve">LCM related requirements </w:t>
      </w:r>
    </w:p>
    <w:p w14:paraId="18319150" w14:textId="77777777" w:rsidR="000072B0" w:rsidRDefault="000072B0" w:rsidP="000072B0">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ac"/>
        <w:tblW w:w="0" w:type="auto"/>
        <w:tblLook w:val="04A0" w:firstRow="1" w:lastRow="0" w:firstColumn="1" w:lastColumn="0" w:noHBand="0" w:noVBand="1"/>
      </w:tblPr>
      <w:tblGrid>
        <w:gridCol w:w="9307"/>
      </w:tblGrid>
      <w:tr w:rsidR="000072B0" w14:paraId="5457DCF9" w14:textId="77777777" w:rsidTr="00C243C8">
        <w:tc>
          <w:tcPr>
            <w:tcW w:w="9621" w:type="dxa"/>
          </w:tcPr>
          <w:p w14:paraId="40A07238" w14:textId="77777777" w:rsidR="000072B0" w:rsidRPr="00EF4C97" w:rsidRDefault="000072B0" w:rsidP="00C243C8">
            <w:pPr>
              <w:spacing w:after="0"/>
              <w:rPr>
                <w:rFonts w:eastAsia="等线"/>
                <w:sz w:val="16"/>
                <w:szCs w:val="16"/>
                <w:highlight w:val="green"/>
                <w:lang w:eastAsia="zh-CN"/>
              </w:rPr>
            </w:pPr>
            <w:r w:rsidRPr="00EF4C97">
              <w:rPr>
                <w:rFonts w:eastAsia="等线"/>
                <w:sz w:val="16"/>
                <w:szCs w:val="16"/>
                <w:highlight w:val="green"/>
                <w:lang w:eastAsia="zh-CN"/>
              </w:rPr>
              <w:t>Agreement</w:t>
            </w:r>
          </w:p>
          <w:p w14:paraId="664AB09C" w14:textId="77777777" w:rsidR="000072B0" w:rsidRPr="00EF4C97" w:rsidRDefault="000072B0" w:rsidP="00C243C8">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5A664628"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09E658B"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77AA4662" w14:textId="77777777" w:rsidR="000072B0" w:rsidRPr="00EF4C97" w:rsidRDefault="000072B0" w:rsidP="00C243C8">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5A5B02FA" w14:textId="77777777" w:rsidR="000072B0" w:rsidRPr="00EF4C97" w:rsidRDefault="000072B0" w:rsidP="00C243C8">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708E27E1" w14:textId="77777777" w:rsidR="000072B0" w:rsidRPr="00EF4C97" w:rsidRDefault="000072B0" w:rsidP="00C243C8">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189CD4A2" w14:textId="77777777" w:rsidR="000072B0" w:rsidRPr="00EF4C97" w:rsidRDefault="000072B0" w:rsidP="00C243C8">
            <w:pPr>
              <w:spacing w:after="0"/>
              <w:rPr>
                <w:rFonts w:eastAsia="等线"/>
                <w:sz w:val="16"/>
                <w:szCs w:val="16"/>
                <w:lang w:eastAsia="zh-CN"/>
              </w:rPr>
            </w:pPr>
          </w:p>
          <w:p w14:paraId="539601EC" w14:textId="77777777" w:rsidR="000072B0" w:rsidRPr="00EF4C97" w:rsidRDefault="000072B0" w:rsidP="00C243C8">
            <w:pPr>
              <w:spacing w:after="0"/>
              <w:rPr>
                <w:rFonts w:eastAsia="等线"/>
                <w:sz w:val="16"/>
                <w:szCs w:val="16"/>
                <w:lang w:eastAsia="zh-CN"/>
              </w:rPr>
            </w:pPr>
            <w:r w:rsidRPr="00EF4C97">
              <w:rPr>
                <w:rFonts w:eastAsia="等线"/>
                <w:sz w:val="16"/>
                <w:szCs w:val="16"/>
                <w:lang w:eastAsia="zh-CN"/>
              </w:rPr>
              <w:t>Conclusion</w:t>
            </w:r>
          </w:p>
          <w:p w14:paraId="3CD4A7FB" w14:textId="77777777" w:rsidR="000072B0" w:rsidRPr="00EF4C97" w:rsidRDefault="000072B0" w:rsidP="00C243C8">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53D1B94" w14:textId="77777777" w:rsidR="000072B0" w:rsidRPr="000F2215" w:rsidRDefault="000072B0" w:rsidP="000072B0">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49C51EFD" w14:textId="77777777" w:rsidR="000072B0" w:rsidRPr="00565A20" w:rsidRDefault="000072B0" w:rsidP="000072B0">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gNB)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A42A448" w14:textId="77777777" w:rsidR="000072B0" w:rsidRDefault="000072B0" w:rsidP="000072B0">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59A525DD" w14:textId="77777777" w:rsidR="000072B0" w:rsidRDefault="000072B0" w:rsidP="000072B0">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2FAA629B" w14:textId="77777777" w:rsidR="000072B0" w:rsidRPr="00EF4C97" w:rsidRDefault="000072B0" w:rsidP="000072B0">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3695AD8D" w14:textId="77777777" w:rsidR="000072B0" w:rsidRPr="001A1DE7" w:rsidRDefault="000072B0" w:rsidP="000072B0">
      <w:pPr>
        <w:spacing w:before="120"/>
        <w:rPr>
          <w:b/>
          <w:i/>
          <w:lang w:eastAsia="zh-CN"/>
        </w:rPr>
      </w:pPr>
    </w:p>
    <w:p w14:paraId="272FBA83" w14:textId="77777777" w:rsidR="000072B0" w:rsidRPr="00735AAE" w:rsidRDefault="000072B0" w:rsidP="000072B0">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E16D0B9" w14:textId="26DC831A" w:rsidR="000072B0" w:rsidRDefault="000072B0" w:rsidP="000072B0">
      <w:pPr>
        <w:spacing w:before="120"/>
        <w:rPr>
          <w:rFonts w:eastAsia="Yu Mincho"/>
          <w:b/>
          <w:i/>
          <w:szCs w:val="20"/>
        </w:rPr>
      </w:pPr>
      <w:r w:rsidRPr="00DD7E85">
        <w:rPr>
          <w:rFonts w:eastAsia="Yu Mincho"/>
          <w:b/>
          <w:szCs w:val="20"/>
          <w:lang w:val="en-GB"/>
        </w:rPr>
        <w:t>Proposal 1</w:t>
      </w:r>
      <w:r w:rsidRPr="00DD3A77">
        <w:rPr>
          <w:rFonts w:eastAsia="Yu Mincho"/>
          <w:szCs w:val="20"/>
          <w:lang w:val="en-GB"/>
        </w:rPr>
        <w:t xml:space="preserve">: </w:t>
      </w:r>
      <w:r w:rsidRPr="00EF4C97">
        <w:rPr>
          <w:rFonts w:eastAsia="Yu Mincho"/>
          <w:szCs w:val="20"/>
          <w:lang w:val="en-GB"/>
        </w:rPr>
        <w:t>For Case 3b, reuse the legacy requirement for reporting of timing information or timing and power information from gNB to LMF</w:t>
      </w:r>
      <w:r w:rsidRPr="00EF4C97">
        <w:rPr>
          <w:rFonts w:eastAsia="Yu Mincho"/>
          <w:szCs w:val="20"/>
        </w:rPr>
        <w:t>.</w:t>
      </w:r>
      <w:r w:rsidRPr="00EA08B3">
        <w:rPr>
          <w:rFonts w:eastAsia="Yu Mincho"/>
          <w:b/>
          <w:i/>
          <w:szCs w:val="20"/>
        </w:rPr>
        <w:t xml:space="preserve"> </w:t>
      </w:r>
    </w:p>
    <w:p w14:paraId="1C520AC6" w14:textId="2EC06B2E" w:rsidR="000072B0" w:rsidRPr="00EF4C97" w:rsidRDefault="000072B0" w:rsidP="000072B0">
      <w:pPr>
        <w:spacing w:before="120"/>
        <w:rPr>
          <w:rFonts w:eastAsia="Yu Mincho"/>
          <w:szCs w:val="20"/>
        </w:rPr>
      </w:pPr>
      <w:r w:rsidRPr="00DD7E85">
        <w:rPr>
          <w:rFonts w:eastAsia="Yu Mincho"/>
          <w:b/>
          <w:szCs w:val="20"/>
          <w:lang w:val="en-GB"/>
        </w:rPr>
        <w:t>Proposal 2</w:t>
      </w:r>
      <w:r w:rsidRPr="00DD3A77">
        <w:rPr>
          <w:rFonts w:eastAsia="Yu Mincho"/>
          <w:szCs w:val="20"/>
          <w:lang w:val="en-GB"/>
        </w:rPr>
        <w:t xml:space="preserve">: </w:t>
      </w:r>
      <w:r w:rsidRPr="00EF4C97">
        <w:rPr>
          <w:rFonts w:eastAsia="Yu Mincho"/>
          <w:szCs w:val="20"/>
          <w:lang w:val="en-GB"/>
        </w:rPr>
        <w:t xml:space="preserve">For Case 3a, </w:t>
      </w:r>
      <w:r>
        <w:rPr>
          <w:rFonts w:eastAsia="Yu Mincho"/>
          <w:szCs w:val="20"/>
          <w:lang w:val="en-GB"/>
        </w:rPr>
        <w:t xml:space="preserve">RAN4 to discuss whether to </w:t>
      </w:r>
      <w:r w:rsidRPr="00EF4C97">
        <w:rPr>
          <w:rFonts w:eastAsia="Yu Mincho"/>
          <w:szCs w:val="20"/>
          <w:lang w:val="en-GB"/>
        </w:rPr>
        <w:t>reuse the legacy requirement for reporting of timing information from gNB to LMF, if there is no explicit indicator introduced to distinguish whether the timing information is obtained by legacy method or by Rel-19 AI/ML</w:t>
      </w:r>
      <w:r w:rsidRPr="00EF4C97">
        <w:rPr>
          <w:rFonts w:eastAsia="Yu Mincho"/>
          <w:szCs w:val="20"/>
        </w:rPr>
        <w:t xml:space="preserve">. </w:t>
      </w:r>
    </w:p>
    <w:p w14:paraId="1273FEF0" w14:textId="77777777" w:rsidR="000072B0" w:rsidRPr="00A378D9" w:rsidRDefault="000072B0" w:rsidP="000072B0">
      <w:pPr>
        <w:spacing w:before="120"/>
        <w:rPr>
          <w:rFonts w:eastAsia="Yu Mincho"/>
          <w:b/>
          <w:i/>
          <w:szCs w:val="20"/>
        </w:rPr>
      </w:pPr>
      <w:r w:rsidRPr="00DD7E85">
        <w:rPr>
          <w:rFonts w:eastAsia="Yu Mincho"/>
          <w:b/>
          <w:szCs w:val="20"/>
          <w:lang w:val="en-GB"/>
        </w:rPr>
        <w:t>Proposal 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0707E8BA" w14:textId="77777777" w:rsidR="000072B0" w:rsidRPr="00EF4C97" w:rsidRDefault="000072B0" w:rsidP="000072B0">
      <w:pPr>
        <w:spacing w:before="120"/>
        <w:rPr>
          <w:b/>
          <w:i/>
          <w:lang w:eastAsia="zh-CN"/>
        </w:rPr>
      </w:pPr>
      <w:r w:rsidRPr="00DD7E85">
        <w:rPr>
          <w:rFonts w:hint="eastAsia"/>
          <w:b/>
          <w:lang w:eastAsia="zh-CN"/>
        </w:rPr>
        <w:lastRenderedPageBreak/>
        <w:t>P</w:t>
      </w:r>
      <w:r w:rsidRPr="00DD7E85">
        <w:rPr>
          <w:b/>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1"/>
        <w:spacing w:before="240"/>
      </w:pPr>
      <w:r w:rsidRPr="00EE2AB0">
        <w:rPr>
          <w:color w:val="000000"/>
        </w:rPr>
        <w:t>References</w:t>
      </w:r>
    </w:p>
    <w:bookmarkEnd w:id="0"/>
    <w:p w14:paraId="645A5483" w14:textId="77777777" w:rsidR="00885C85" w:rsidRDefault="00885C85" w:rsidP="00885C85">
      <w:pPr>
        <w:pStyle w:val="afa"/>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403BF" w14:textId="77777777" w:rsidR="006F5978" w:rsidRDefault="006F5978">
      <w:r>
        <w:separator/>
      </w:r>
    </w:p>
  </w:endnote>
  <w:endnote w:type="continuationSeparator" w:id="0">
    <w:p w14:paraId="5426F71F" w14:textId="77777777" w:rsidR="006F5978" w:rsidRDefault="006F5978">
      <w:r>
        <w:continuationSeparator/>
      </w:r>
    </w:p>
  </w:endnote>
  <w:endnote w:type="continuationNotice" w:id="1">
    <w:p w14:paraId="2BE7CA36" w14:textId="77777777" w:rsidR="006F5978" w:rsidRDefault="006F5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0C123" w14:textId="77777777" w:rsidR="006F5978" w:rsidRDefault="006F5978">
      <w:r>
        <w:separator/>
      </w:r>
    </w:p>
  </w:footnote>
  <w:footnote w:type="continuationSeparator" w:id="0">
    <w:p w14:paraId="03D5A2BE" w14:textId="77777777" w:rsidR="006F5978" w:rsidRDefault="006F5978">
      <w:r>
        <w:continuationSeparator/>
      </w:r>
    </w:p>
  </w:footnote>
  <w:footnote w:type="continuationNotice" w:id="1">
    <w:p w14:paraId="2CB727E9" w14:textId="77777777" w:rsidR="006F5978" w:rsidRDefault="006F59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7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6C3"/>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4FE"/>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71"/>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9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2346D-F7F1-4139-A740-063B80FF1E70}">
  <ds:schemaRefs>
    <ds:schemaRef ds:uri="http://schemas.openxmlformats.org/officeDocument/2006/bibliography"/>
  </ds:schemaRefs>
</ds:datastoreItem>
</file>

<file path=customXml/itemProps2.xml><?xml version="1.0" encoding="utf-8"?>
<ds:datastoreItem xmlns:ds="http://schemas.openxmlformats.org/officeDocument/2006/customXml" ds:itemID="{ACC60ED6-2A74-418B-BBEE-572126A6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4322</TotalTime>
  <Pages>3</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228</cp:revision>
  <cp:lastPrinted>2019-11-08T22:53:00Z</cp:lastPrinted>
  <dcterms:created xsi:type="dcterms:W3CDTF">2023-05-11T04:23:00Z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